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敦煌莫高窟+鸣沙山月牙泉+ 雅丹+玉门关双卧4日游行程单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探秘丝路   敦进敦出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去程：兰州/敦煌K9667(16:37-07:23)
                <w:br/>
                返程：敦煌/兰州 K9669(08:35/09:15) Y669（20：45/07：25）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交通：大巴+火车
                <w:br/>
                景点：【雅丹地貌魔鬼城】+【玉门关】
                <w:br/>
                购物点：无
                <w:br/>
                自费项：行程中根据游览时间导游会推荐自费项目，【敦煌古城： 门票40元/人自理】， 莫高窟姊妹窟【西千佛洞门票30元/人自理】自愿参加，绝不强制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6、【大交通】兰州/敦煌及敦煌/兰州往返火车票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敦煌果脯 西北特产 自愿购买 免费品尝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滑沙：20元/人 骑骆驼：100元/人 鞋套：15元/人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敦煌（推荐不强制）</w:t>
            </w:r>
          </w:p>
        </w:tc>
        <w:tc>
          <w:tcPr/>
          <w:p>
            <w:pPr>
              <w:pStyle w:val="indent"/>
            </w:pPr>
            <w:r>
              <w:rPr>
                <w:rFonts w:ascii="微软雅黑" w:hAnsi="微软雅黑" w:eastAsia="微软雅黑" w:cs="微软雅黑"/>
                <w:color w:val="000000"/>
                <w:sz w:val="20"/>
                <w:szCs w:val="20"/>
              </w:rPr>
              <w:t xml:space="preserve">敦煌歌舞，自愿参加：又见敦煌：368元/人 敦煌盛典：298元/人 丝路花雨：298元/人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全程不含餐
                <w:br/>
                莫高窟只含应急窟，观看4个洞窟，无数字观影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2025-07-13T15:56:17+08:00</dcterms:created>
  <dcterms:modified xsi:type="dcterms:W3CDTF">2025-07-13T15:56:17+08:00</dcterms:modified>
</cp:coreProperties>
</file>

<file path=docProps/custom.xml><?xml version="1.0" encoding="utf-8"?>
<Properties xmlns="http://schemas.openxmlformats.org/officeDocument/2006/custom-properties" xmlns:vt="http://schemas.openxmlformats.org/officeDocument/2006/docPropsVTypes"/>
</file>